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" w:line="480" w:lineRule="auto"/>
        <w:ind w:left="1157" w:right="1170" w:firstLine="0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EDITAL Nº 24/2020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1" w:line="480" w:lineRule="auto"/>
        <w:ind w:left="1157" w:right="1169" w:firstLine="0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2ª CORRIDA DE STARTUPS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1" w:line="480" w:lineRule="auto"/>
        <w:ind w:left="1157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spacing w:before="121" w:line="480" w:lineRule="auto"/>
        <w:ind w:left="1157" w:right="1169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FORMULÁRIO DE AVALIAÇÃO - BANCA </w:t>
      </w:r>
    </w:p>
    <w:p w:rsidR="00000000" w:rsidDel="00000000" w:rsidP="00000000" w:rsidRDefault="00000000" w:rsidRPr="00000000" w14:paraId="00000005">
      <w:pPr>
        <w:tabs>
          <w:tab w:val="left" w:pos="8928"/>
        </w:tabs>
        <w:spacing w:before="11" w:lineRule="auto"/>
        <w:ind w:right="151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Nome da Startup: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928"/>
        </w:tabs>
        <w:spacing w:before="11" w:lineRule="auto"/>
        <w:ind w:right="15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928"/>
        </w:tabs>
        <w:spacing w:before="11" w:lineRule="auto"/>
        <w:ind w:right="15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7.0" w:type="dxa"/>
        <w:tblLayout w:type="fixed"/>
        <w:tblLook w:val="0000"/>
      </w:tblPr>
      <w:tblGrid>
        <w:gridCol w:w="4035"/>
        <w:gridCol w:w="2550"/>
        <w:gridCol w:w="2805"/>
        <w:tblGridChange w:id="0">
          <w:tblGrid>
            <w:gridCol w:w="4035"/>
            <w:gridCol w:w="2550"/>
            <w:gridCol w:w="280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8.00000000000006" w:lineRule="auto"/>
              <w:ind w:left="1024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348" w:lineRule="auto"/>
              <w:ind w:left="446" w:right="448" w:firstLine="83.99999999999999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8.00000000000006" w:lineRule="auto"/>
              <w:ind w:left="72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ind w:right="10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problema que a startup se propõe a resolver.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03" w:right="10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before="2" w:line="252.00000000000003" w:lineRule="auto"/>
              <w:ind w:right="99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 solução que a startup oferece.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" w:line="252.00000000000003" w:lineRule="auto"/>
              <w:ind w:left="103" w:right="99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1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diferencial competitivo.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6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928"/>
                <w:tab w:val="left" w:pos="1540"/>
                <w:tab w:val="left" w:pos="2859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 potencial de investimento da proposta.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928"/>
                <w:tab w:val="left" w:pos="1540"/>
                <w:tab w:val="left" w:pos="2859"/>
              </w:tabs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right="102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As competências, habilidades e atitudes da equipe.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5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Os resultados esperados.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1" w:lineRule="auto"/>
              <w:ind w:left="1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1" w:lineRule="auto"/>
              <w:ind w:left="1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tabs>
                <w:tab w:val="left" w:pos="1111"/>
              </w:tabs>
              <w:spacing w:after="200" w:line="360" w:lineRule="auto"/>
              <w:ind w:left="0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Viabilidade de prototipação no prazo do   projeto.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51" w:lineRule="auto"/>
              <w:ind w:left="1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51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Potencial de escalabilidade e repetibilidade do negócio.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1" w:lineRule="auto"/>
              <w:ind w:left="1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51" w:lineRule="auto"/>
              <w:ind w:left="103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51" w:lineRule="auto"/>
              <w:ind w:left="103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NOTA MÁXIMA</w:t>
            </w:r>
          </w:p>
          <w:p w:rsidR="00000000" w:rsidDel="00000000" w:rsidP="00000000" w:rsidRDefault="00000000" w:rsidRPr="00000000" w14:paraId="00000033">
            <w:pPr>
              <w:spacing w:line="251" w:lineRule="auto"/>
              <w:ind w:left="103" w:firstLine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103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SUGESTÕES: 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0" w:right="117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418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left" w:pos="0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628650" cy="6286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0"/>
        <w:szCs w:val="20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41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13"/>
        <w:szCs w:val="13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42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664C8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F2E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F2ED9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6F2ED9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4226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226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fjrDC5gt5MTnz6jDpyiZfDuOA==">AMUW2mUlX5KQn2vadcIGvpw/8KqzL7amMK/NdGOXju434KwC8hkEdoigo7NCIr7W8B88bGdVLzHP2rCn3KgMVBSqXJGLAziCEO3OW0hrhjka4zX1eXdwmVI=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2020-12-22T16:22:00Z</dcterms:created>
  <dc:creator>Adelia</dc:creator>
</cp:coreProperties>
</file>